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  <w:u w:val="single"/>
        </w:rPr>
      </w:pPr>
      <w:r>
        <w:rPr>
          <w:rFonts w:ascii="Times New Roman" w:hAnsi="Times New Roman"/>
          <w:b w:val="1"/>
          <w:sz w:val="24"/>
          <w:u w:val="single"/>
        </w:rPr>
        <w:t xml:space="preserve">Стоматологический кабинет </w:t>
      </w:r>
      <w:r>
        <w:rPr>
          <w:rFonts w:ascii="Times New Roman" w:hAnsi="Times New Roman"/>
          <w:b w:val="1"/>
          <w:sz w:val="24"/>
          <w:u w:val="single"/>
        </w:rPr>
        <w:t>ИП</w:t>
      </w:r>
      <w:r>
        <w:rPr>
          <w:rFonts w:ascii="Times New Roman" w:hAnsi="Times New Roman"/>
          <w:b w:val="1"/>
          <w:sz w:val="24"/>
          <w:u w:val="single"/>
        </w:rPr>
        <w:t xml:space="preserve"> Абубакиров Марат Ренатович</w:t>
      </w:r>
    </w:p>
    <w:p w14:paraId="02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(наименование </w:t>
      </w:r>
      <w:r>
        <w:rPr>
          <w:rFonts w:ascii="Times New Roman" w:hAnsi="Times New Roman"/>
          <w:sz w:val="16"/>
        </w:rPr>
        <w:t>стоматологической</w:t>
      </w:r>
      <w:r>
        <w:rPr>
          <w:rFonts w:ascii="Times New Roman" w:hAnsi="Times New Roman"/>
          <w:sz w:val="16"/>
        </w:rPr>
        <w:t xml:space="preserve"> организации</w:t>
      </w:r>
      <w:r>
        <w:rPr>
          <w:rFonts w:ascii="Times New Roman" w:hAnsi="Times New Roman"/>
          <w:sz w:val="16"/>
        </w:rPr>
        <w:t>)</w:t>
      </w:r>
    </w:p>
    <w:p w14:paraId="03000000">
      <w:pPr>
        <w:pStyle w:val="Style_1"/>
        <w:rPr>
          <w:b w:val="1"/>
          <w:sz w:val="22"/>
        </w:rPr>
      </w:pPr>
    </w:p>
    <w:p w14:paraId="04000000">
      <w:pPr>
        <w:pStyle w:val="Style_1"/>
        <w:ind/>
        <w:jc w:val="center"/>
        <w:rPr>
          <w:sz w:val="22"/>
        </w:rPr>
      </w:pPr>
      <w:r>
        <w:rPr>
          <w:b w:val="1"/>
          <w:sz w:val="22"/>
        </w:rPr>
        <w:t>УВЕДОМЛЕНИЕ</w:t>
      </w:r>
    </w:p>
    <w:p w14:paraId="05000000">
      <w:pPr>
        <w:pStyle w:val="Style_1"/>
        <w:ind/>
        <w:jc w:val="center"/>
        <w:rPr>
          <w:sz w:val="22"/>
        </w:rPr>
      </w:pPr>
      <w:r>
        <w:rPr>
          <w:b w:val="1"/>
          <w:sz w:val="22"/>
        </w:rPr>
        <w:t>о праве на получение медицинской помощи без взимания платы</w:t>
      </w:r>
    </w:p>
    <w:p w14:paraId="06000000">
      <w:pPr>
        <w:pStyle w:val="Style_1"/>
        <w:ind/>
        <w:jc w:val="center"/>
        <w:rPr>
          <w:sz w:val="22"/>
        </w:rPr>
      </w:pPr>
      <w:r>
        <w:rPr>
          <w:b w:val="1"/>
          <w:sz w:val="22"/>
        </w:rPr>
        <w:t>в рамках программы государственных гарантий бесплатного оказания гражданам медицинской помощи и территориальной программы государственных гарантий</w:t>
      </w:r>
    </w:p>
    <w:p w14:paraId="07000000">
      <w:pPr>
        <w:pStyle w:val="Style_1"/>
        <w:ind/>
        <w:jc w:val="both"/>
        <w:rPr>
          <w:sz w:val="22"/>
        </w:rPr>
      </w:pPr>
    </w:p>
    <w:p w14:paraId="08000000">
      <w:pPr>
        <w:pStyle w:val="Style_1"/>
        <w:ind w:firstLine="709" w:left="0"/>
        <w:jc w:val="both"/>
        <w:rPr>
          <w:sz w:val="22"/>
        </w:rPr>
      </w:pPr>
      <w:r>
        <w:rPr>
          <w:sz w:val="22"/>
        </w:rPr>
        <w:t>Настоящее уведомление доводится до сведения потребителя (заказчика) в наглядной и доступной форме на основании п</w:t>
      </w:r>
      <w:r>
        <w:rPr>
          <w:sz w:val="22"/>
        </w:rPr>
        <w:t>.</w:t>
      </w:r>
      <w:r>
        <w:rPr>
          <w:sz w:val="22"/>
        </w:rPr>
        <w:t xml:space="preserve"> 7 Правил предоставления медицинскими организациями платных медицинских услуг, утверждённых постановлением Правительства Российской Федерации от 30 мая 2026 г. № 659, а также ст</w:t>
      </w:r>
      <w:r>
        <w:rPr>
          <w:sz w:val="22"/>
        </w:rPr>
        <w:t>.</w:t>
      </w:r>
      <w:r>
        <w:rPr>
          <w:sz w:val="22"/>
        </w:rPr>
        <w:t xml:space="preserve"> 84 Федерального закона от 21 ноября 2011 г. № 323-ФЗ «Об основах охраны здоровья граждан в Российской Федерации».</w:t>
      </w:r>
    </w:p>
    <w:p w14:paraId="09000000">
      <w:pPr>
        <w:pStyle w:val="Style_1"/>
        <w:ind/>
        <w:jc w:val="both"/>
        <w:rPr>
          <w:sz w:val="22"/>
        </w:rPr>
      </w:pPr>
      <w:r>
        <w:rPr>
          <w:b w:val="1"/>
          <w:sz w:val="22"/>
        </w:rPr>
        <w:t xml:space="preserve">1. </w:t>
      </w:r>
      <w:r>
        <w:rPr>
          <w:sz w:val="22"/>
        </w:rPr>
        <w:t xml:space="preserve">Уважаемый пациент! Информируем Вас о том, что Вы имеете право на получение соответствующих видов и объёмов медицинской помощи </w:t>
      </w:r>
      <w:r>
        <w:rPr>
          <w:b w:val="1"/>
          <w:sz w:val="22"/>
        </w:rPr>
        <w:t>без взимания платы</w:t>
      </w:r>
      <w:r>
        <w:rPr>
          <w:sz w:val="22"/>
        </w:rPr>
        <w:t xml:space="preserve"> в рамках:</w:t>
      </w:r>
    </w:p>
    <w:p w14:paraId="0A000000">
      <w:pPr>
        <w:pStyle w:val="Style_1"/>
        <w:numPr>
          <w:ilvl w:val="0"/>
          <w:numId w:val="1"/>
        </w:numPr>
        <w:ind/>
        <w:jc w:val="both"/>
        <w:rPr>
          <w:sz w:val="22"/>
        </w:rPr>
      </w:pPr>
      <w:r>
        <w:rPr>
          <w:sz w:val="22"/>
        </w:rPr>
        <w:t>программы государственных гарантий бесплатного оказания гражданам медицинской помощи (далее — программа государственных гарантий);</w:t>
      </w:r>
    </w:p>
    <w:p w14:paraId="0B000000">
      <w:pPr>
        <w:pStyle w:val="Style_1"/>
        <w:numPr>
          <w:ilvl w:val="0"/>
          <w:numId w:val="1"/>
        </w:numPr>
        <w:ind/>
        <w:jc w:val="both"/>
        <w:rPr>
          <w:sz w:val="22"/>
        </w:rPr>
      </w:pPr>
      <w:r>
        <w:rPr>
          <w:sz w:val="22"/>
        </w:rPr>
        <w:t>территориальной программы государственных гарантий бесплатного оказания гражданам медицинской помощи (далее — территориальная программа), действующей в субъекте Российской Федерации.</w:t>
      </w:r>
    </w:p>
    <w:p w14:paraId="0C000000">
      <w:pPr>
        <w:pStyle w:val="Style_1"/>
        <w:ind/>
        <w:jc w:val="both"/>
        <w:rPr>
          <w:sz w:val="22"/>
        </w:rPr>
      </w:pPr>
      <w:r>
        <w:rPr>
          <w:b w:val="1"/>
          <w:sz w:val="22"/>
        </w:rPr>
        <w:t xml:space="preserve">2. </w:t>
      </w:r>
      <w:r>
        <w:rPr>
          <w:sz w:val="22"/>
        </w:rPr>
        <w:t xml:space="preserve">Ваш отказ от заключения договора и (или) от предлагаемых платных медицинских услуг </w:t>
      </w:r>
      <w:r>
        <w:rPr>
          <w:b w:val="1"/>
          <w:sz w:val="22"/>
        </w:rPr>
        <w:t>не может быть причиной уменьшения видов и объёма медицинской помощи</w:t>
      </w:r>
      <w:r>
        <w:rPr>
          <w:sz w:val="22"/>
        </w:rPr>
        <w:t>, оказываемой Вам без взимания платы в рамках программы государственных гарантий и территориальной программы.</w:t>
      </w:r>
    </w:p>
    <w:p w14:paraId="0D000000">
      <w:pPr>
        <w:pStyle w:val="Style_1"/>
        <w:ind/>
        <w:jc w:val="both"/>
        <w:rPr>
          <w:sz w:val="22"/>
        </w:rPr>
      </w:pPr>
      <w:r>
        <w:rPr>
          <w:b w:val="1"/>
          <w:sz w:val="22"/>
        </w:rPr>
        <w:t xml:space="preserve">3. </w:t>
      </w:r>
      <w:r>
        <w:rPr>
          <w:sz w:val="22"/>
        </w:rPr>
        <w:t>Платные медицинские услуги предоставляются по Вашему желанию, в том числе при оказании медицинской помощи на иных условиях, чем это предусмотрено программой государственных гарантий и территориальной программой, в частности:</w:t>
      </w:r>
    </w:p>
    <w:p w14:paraId="0E000000">
      <w:pPr>
        <w:pStyle w:val="Style_1"/>
        <w:numPr>
          <w:ilvl w:val="0"/>
          <w:numId w:val="2"/>
        </w:numPr>
        <w:ind/>
        <w:jc w:val="both"/>
        <w:rPr>
          <w:sz w:val="22"/>
        </w:rPr>
      </w:pPr>
      <w:r>
        <w:rPr>
          <w:sz w:val="22"/>
        </w:rPr>
        <w:t>при назначении и применении по медицинским показаниям лекарственных препаратов и (или) применении медицинских изделий, лечебного питания, не подлежащих оплате в рамках программы государственных гарантий и территориальной программы;</w:t>
      </w:r>
    </w:p>
    <w:p w14:paraId="0F000000">
      <w:pPr>
        <w:pStyle w:val="Style_1"/>
        <w:numPr>
          <w:ilvl w:val="0"/>
          <w:numId w:val="2"/>
        </w:numPr>
        <w:ind/>
        <w:jc w:val="both"/>
        <w:rPr>
          <w:sz w:val="22"/>
        </w:rPr>
      </w:pPr>
      <w:r>
        <w:rPr>
          <w:sz w:val="22"/>
        </w:rPr>
        <w:t>при самостоятельном обращении за получением медицинских услуг (за исключением случаев и порядка, предусмотренных ст</w:t>
      </w:r>
      <w:r>
        <w:rPr>
          <w:sz w:val="22"/>
        </w:rPr>
        <w:t xml:space="preserve">. </w:t>
      </w:r>
      <w:r>
        <w:rPr>
          <w:sz w:val="22"/>
        </w:rPr>
        <w:t>21 Федерального закона «Об основах охраны здоровья граждан в Российской Федерации», а также случаев, требующих оказания медицинской помощи в экстренной форме);</w:t>
      </w:r>
    </w:p>
    <w:p w14:paraId="10000000">
      <w:pPr>
        <w:pStyle w:val="Style_1"/>
        <w:numPr>
          <w:ilvl w:val="0"/>
          <w:numId w:val="2"/>
        </w:numPr>
        <w:ind/>
        <w:jc w:val="both"/>
        <w:rPr>
          <w:sz w:val="22"/>
        </w:rPr>
      </w:pPr>
      <w:r>
        <w:rPr>
          <w:sz w:val="22"/>
        </w:rPr>
        <w:t>при применении в стоматологии материалов, конструкций и методов лечения, выбранных пациентом сверх объёма, гарантированного программой государственных гарантий и территориальной программой.</w:t>
      </w:r>
    </w:p>
    <w:p w14:paraId="11000000">
      <w:pPr>
        <w:pStyle w:val="Style_1"/>
        <w:ind/>
        <w:jc w:val="both"/>
        <w:rPr>
          <w:sz w:val="22"/>
        </w:rPr>
      </w:pPr>
      <w:r>
        <w:rPr>
          <w:b w:val="1"/>
          <w:sz w:val="22"/>
        </w:rPr>
        <w:t xml:space="preserve">4. </w:t>
      </w:r>
      <w:r>
        <w:rPr>
          <w:sz w:val="22"/>
        </w:rPr>
        <w:t>Сроки ожидания медицинской помощи, оказываемой без взимания платы в рамках программы государственных гарантий и территориальной программы, установлены территориальной программой государственных гарантий соответствующего субъекта Российской Федерации и доводятся до сведения пациентов на информационном стенде и на сайте медицинской организации.</w:t>
      </w:r>
    </w:p>
    <w:p w14:paraId="12000000">
      <w:pPr>
        <w:pStyle w:val="Style_1"/>
        <w:ind/>
        <w:jc w:val="both"/>
        <w:rPr>
          <w:sz w:val="22"/>
        </w:rPr>
      </w:pPr>
      <w:r>
        <w:rPr>
          <w:b w:val="1"/>
          <w:sz w:val="22"/>
        </w:rPr>
        <w:t>5.</w:t>
      </w:r>
      <w:r>
        <w:rPr>
          <w:b w:val="1"/>
          <w:sz w:val="22"/>
        </w:rPr>
        <w:t xml:space="preserve"> </w:t>
      </w:r>
      <w:r>
        <w:rPr>
          <w:sz w:val="22"/>
        </w:rPr>
        <w:t>Информацию о возможности получения бесплатной медицинской помощи в рамках обязательного медицинского страхования Вы можете получить:</w:t>
      </w:r>
    </w:p>
    <w:p w14:paraId="13000000">
      <w:pPr>
        <w:pStyle w:val="Style_1"/>
        <w:numPr>
          <w:ilvl w:val="0"/>
          <w:numId w:val="3"/>
        </w:numPr>
        <w:ind/>
        <w:jc w:val="both"/>
        <w:rPr>
          <w:sz w:val="22"/>
        </w:rPr>
      </w:pPr>
      <w:r>
        <w:rPr>
          <w:sz w:val="22"/>
        </w:rPr>
        <w:t>в медицинской организации по месту прикрепления;</w:t>
      </w:r>
    </w:p>
    <w:p w14:paraId="14000000">
      <w:pPr>
        <w:pStyle w:val="Style_1"/>
        <w:numPr>
          <w:ilvl w:val="0"/>
          <w:numId w:val="3"/>
        </w:numPr>
        <w:ind/>
        <w:jc w:val="both"/>
        <w:rPr>
          <w:sz w:val="22"/>
        </w:rPr>
      </w:pPr>
      <w:r>
        <w:rPr>
          <w:sz w:val="22"/>
        </w:rPr>
        <w:t>в страховой медицинской организации, выдавшей полис ОМС;</w:t>
      </w:r>
    </w:p>
    <w:p w14:paraId="15000000">
      <w:pPr>
        <w:pStyle w:val="Style_1"/>
        <w:numPr>
          <w:ilvl w:val="0"/>
          <w:numId w:val="3"/>
        </w:numPr>
        <w:ind/>
        <w:jc w:val="both"/>
        <w:rPr>
          <w:sz w:val="22"/>
        </w:rPr>
      </w:pPr>
      <w:r>
        <w:rPr>
          <w:sz w:val="22"/>
        </w:rPr>
        <w:t>в территориальном фонде обязательного медицинского страхования;</w:t>
      </w:r>
    </w:p>
    <w:p w14:paraId="16000000">
      <w:pPr>
        <w:pStyle w:val="Style_1"/>
        <w:numPr>
          <w:ilvl w:val="0"/>
          <w:numId w:val="3"/>
        </w:numPr>
        <w:ind/>
        <w:jc w:val="both"/>
        <w:rPr>
          <w:sz w:val="22"/>
        </w:rPr>
      </w:pPr>
      <w:r>
        <w:rPr>
          <w:sz w:val="22"/>
        </w:rPr>
        <w:t>в органе исполнительной власти субъекта Российской Федерации в сфере охраны здоровья.</w:t>
      </w:r>
    </w:p>
    <w:p w14:paraId="17000000">
      <w:pPr>
        <w:pStyle w:val="Style_1"/>
        <w:ind/>
        <w:jc w:val="both"/>
        <w:rPr>
          <w:sz w:val="22"/>
        </w:rPr>
      </w:pPr>
      <w:r>
        <w:rPr>
          <w:i w:val="1"/>
          <w:sz w:val="22"/>
        </w:rPr>
        <w:t>С информацией о возможности получения соответствующих видов и объёмов медицинской помощи без взимания платы ознакомлен(а). Отказ от бесплатной медицинской помощи и выбор платных медицинских услуг является моим (нашим) добровольным волеизъявлением.</w:t>
      </w:r>
    </w:p>
    <w:p w14:paraId="18000000">
      <w:pPr>
        <w:pStyle w:val="Style_1"/>
        <w:ind/>
        <w:jc w:val="both"/>
        <w:rPr>
          <w:sz w:val="22"/>
        </w:rPr>
      </w:pPr>
    </w:p>
    <w:p w14:paraId="19000000">
      <w:pPr>
        <w:pStyle w:val="Style_1"/>
        <w:ind/>
        <w:jc w:val="both"/>
        <w:rPr>
          <w:sz w:val="22"/>
        </w:rPr>
      </w:pPr>
    </w:p>
    <w:p w14:paraId="1A000000">
      <w:pPr>
        <w:pStyle w:val="Style_1"/>
        <w:ind/>
        <w:jc w:val="both"/>
        <w:rPr>
          <w:sz w:val="22"/>
        </w:rPr>
      </w:pPr>
      <w:r>
        <w:rPr>
          <w:sz w:val="22"/>
        </w:rPr>
        <w:t>Пациент (потребитель): ______________________________ / _________________________ /</w:t>
      </w:r>
    </w:p>
    <w:p w14:paraId="1B000000">
      <w:pPr>
        <w:pStyle w:val="Style_1"/>
        <w:ind/>
        <w:jc w:val="both"/>
        <w:rPr>
          <w:sz w:val="18"/>
        </w:rPr>
      </w:pPr>
      <w:r>
        <w:rPr>
          <w:i w:val="1"/>
          <w:sz w:val="18"/>
        </w:rPr>
        <w:t xml:space="preserve">                                                                                     </w:t>
      </w:r>
      <w:r>
        <w:rPr>
          <w:i w:val="1"/>
          <w:sz w:val="18"/>
        </w:rPr>
        <w:t>(подпись)                                   (фамилия, инициалы)</w:t>
      </w:r>
    </w:p>
    <w:p w14:paraId="1C000000">
      <w:pPr>
        <w:pStyle w:val="Style_1"/>
        <w:ind/>
        <w:jc w:val="both"/>
        <w:rPr>
          <w:sz w:val="22"/>
        </w:rPr>
      </w:pPr>
    </w:p>
    <w:p w14:paraId="1D000000">
      <w:pPr>
        <w:pStyle w:val="Style_1"/>
        <w:ind/>
        <w:jc w:val="both"/>
        <w:rPr>
          <w:sz w:val="22"/>
        </w:rPr>
      </w:pPr>
      <w:r>
        <w:rPr>
          <w:sz w:val="22"/>
        </w:rPr>
        <w:t>Законный представитель (при наличии): ________________________ / ______________________ /</w:t>
      </w:r>
    </w:p>
    <w:p w14:paraId="1E000000">
      <w:pPr>
        <w:pStyle w:val="Style_1"/>
        <w:ind/>
        <w:jc w:val="both"/>
        <w:rPr>
          <w:sz w:val="18"/>
        </w:rPr>
      </w:pPr>
      <w:r>
        <w:rPr>
          <w:i w:val="1"/>
          <w:sz w:val="18"/>
        </w:rPr>
        <w:t xml:space="preserve">                                                                                                          </w:t>
      </w:r>
      <w:r>
        <w:rPr>
          <w:i w:val="1"/>
          <w:sz w:val="18"/>
        </w:rPr>
        <w:t>(подпись)                                   (фамилия, инициалы)</w:t>
      </w:r>
    </w:p>
    <w:p w14:paraId="1F000000">
      <w:pPr>
        <w:pStyle w:val="Style_1"/>
        <w:ind/>
        <w:jc w:val="both"/>
        <w:rPr>
          <w:sz w:val="22"/>
        </w:rPr>
      </w:pPr>
      <w:r>
        <w:rPr>
          <w:sz w:val="22"/>
        </w:rPr>
        <w:t>«____» __________________ 20____ г.</w:t>
      </w:r>
    </w:p>
    <w:p w14:paraId="20000000">
      <w:pPr>
        <w:pStyle w:val="Style_1"/>
        <w:ind/>
        <w:jc w:val="both"/>
        <w:rPr>
          <w:sz w:val="20"/>
        </w:rPr>
      </w:pPr>
    </w:p>
    <w:p w14:paraId="21000000">
      <w:pPr>
        <w:pStyle w:val="Style_1"/>
        <w:ind/>
        <w:jc w:val="both"/>
        <w:rPr>
          <w:sz w:val="20"/>
        </w:rPr>
      </w:pPr>
    </w:p>
    <w:sectPr>
      <w:pgSz w:h="16838" w:orient="portrait" w:w="11906"/>
      <w:pgMar w:bottom="254" w:footer="708" w:gutter="0" w:header="708" w:left="1701" w:right="850" w:top="426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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1">
    <w:lvl w:ilvl="0">
      <w:start w:val="1"/>
      <w:numFmt w:val="bullet"/>
      <w:lvlText w:val="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2">
    <w:lvl w:ilvl="0">
      <w:start w:val="1"/>
      <w:numFmt w:val="bullet"/>
      <w:lvlText w:val="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Default Paragraph Font"/>
    <w:link w:val="Style_7_ch"/>
  </w:style>
  <w:style w:styleId="Style_7_ch" w:type="character">
    <w:name w:val="Default Paragraph Font"/>
    <w:link w:val="Style_7"/>
  </w:style>
  <w:style w:styleId="Style_8" w:type="paragraph">
    <w:name w:val="heading 3"/>
    <w:link w:val="Style_8_ch"/>
    <w:uiPriority w:val="9"/>
    <w:qFormat/>
    <w:pPr>
      <w:ind/>
      <w:outlineLvl w:val="2"/>
    </w:pPr>
    <w:rPr>
      <w:color w:val="1F4D78"/>
    </w:rPr>
  </w:style>
  <w:style w:styleId="Style_8_ch" w:type="character">
    <w:name w:val="heading 3"/>
    <w:link w:val="Style_8"/>
    <w:rPr>
      <w:color w:val="1F4D78"/>
    </w:rPr>
  </w:style>
  <w:style w:styleId="Style_9" w:type="paragraph">
    <w:name w:val="endnote text"/>
    <w:link w:val="Style_9_ch"/>
    <w:rPr>
      <w:sz w:val="20"/>
    </w:rPr>
  </w:style>
  <w:style w:styleId="Style_9_ch" w:type="character">
    <w:name w:val="endnote text"/>
    <w:link w:val="Style_9"/>
    <w:rPr>
      <w:sz w:val="20"/>
    </w:rPr>
  </w:style>
  <w:style w:styleId="Style_1" w:type="paragraph">
    <w:name w:val="No Spacing"/>
    <w:link w:val="Style_1_ch"/>
  </w:style>
  <w:style w:styleId="Style_1_ch" w:type="character">
    <w:name w:val="No Spacing"/>
    <w:link w:val="Style_1"/>
  </w:style>
  <w:style w:styleId="Style_10" w:type="paragraph">
    <w:name w:val="footnote reference"/>
    <w:link w:val="Style_10_ch"/>
    <w:rPr>
      <w:vertAlign w:val="superscript"/>
    </w:rPr>
  </w:style>
  <w:style w:styleId="Style_10_ch" w:type="character">
    <w:name w:val="footnote reference"/>
    <w:link w:val="Style_10"/>
    <w:rPr>
      <w:vertAlign w:val="superscript"/>
    </w:rPr>
  </w:style>
  <w:style w:styleId="Style_11" w:type="paragraph">
    <w:name w:val="toc 3"/>
    <w:next w:val="Style_2"/>
    <w:link w:val="Style_1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heading 5"/>
    <w:link w:val="Style_12_ch"/>
    <w:uiPriority w:val="9"/>
    <w:qFormat/>
    <w:pPr>
      <w:ind/>
      <w:outlineLvl w:val="4"/>
    </w:pPr>
    <w:rPr>
      <w:color w:val="2E74B5"/>
    </w:rPr>
  </w:style>
  <w:style w:styleId="Style_12_ch" w:type="character">
    <w:name w:val="heading 5"/>
    <w:link w:val="Style_12"/>
    <w:rPr>
      <w:color w:val="2E74B5"/>
    </w:rPr>
  </w:style>
  <w:style w:styleId="Style_13" w:type="paragraph">
    <w:name w:val="heading 1"/>
    <w:link w:val="Style_13_ch"/>
    <w:uiPriority w:val="9"/>
    <w:qFormat/>
    <w:pPr>
      <w:ind/>
      <w:outlineLvl w:val="0"/>
    </w:pPr>
    <w:rPr>
      <w:color w:val="2E74B5"/>
      <w:sz w:val="32"/>
    </w:rPr>
  </w:style>
  <w:style w:styleId="Style_13_ch" w:type="character">
    <w:name w:val="heading 1"/>
    <w:link w:val="Style_13"/>
    <w:rPr>
      <w:color w:val="2E74B5"/>
      <w:sz w:val="32"/>
    </w:rPr>
  </w:style>
  <w:style w:styleId="Style_14" w:type="paragraph">
    <w:name w:val="Hyperlink"/>
    <w:link w:val="Style_14_ch"/>
    <w:rPr>
      <w:color w:val="0563C1"/>
      <w:u w:val="single"/>
    </w:rPr>
  </w:style>
  <w:style w:styleId="Style_14_ch" w:type="character">
    <w:name w:val="Hyperlink"/>
    <w:link w:val="Style_14"/>
    <w:rPr>
      <w:color w:val="0563C1"/>
      <w:u w:val="single"/>
    </w:rPr>
  </w:style>
  <w:style w:styleId="Style_15" w:type="paragraph">
    <w:name w:val="Footnote"/>
    <w:link w:val="Style_15_ch"/>
    <w:rPr>
      <w:sz w:val="20"/>
    </w:rPr>
  </w:style>
  <w:style w:styleId="Style_15_ch" w:type="character">
    <w:name w:val="Footnote"/>
    <w:link w:val="Style_15"/>
    <w:rPr>
      <w:sz w:val="20"/>
    </w:rPr>
  </w:style>
  <w:style w:styleId="Style_16" w:type="paragraph">
    <w:name w:val="toc 1"/>
    <w:next w:val="Style_2"/>
    <w:link w:val="Style_1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spacing w:line="240" w:lineRule="auto"/>
      <w:ind/>
      <w:jc w:val="both"/>
    </w:pPr>
    <w:rPr>
      <w:rFonts w:ascii="XO Thames" w:hAnsi="XO Thames"/>
      <w:sz w:val="20"/>
    </w:rPr>
  </w:style>
  <w:style w:styleId="Style_17_ch" w:type="character">
    <w:name w:val="Header and Footer"/>
    <w:link w:val="Style_17"/>
    <w:rPr>
      <w:rFonts w:ascii="XO Thames" w:hAnsi="XO Thames"/>
      <w:sz w:val="20"/>
    </w:rPr>
  </w:style>
  <w:style w:styleId="Style_18" w:type="paragraph">
    <w:name w:val="endnote reference"/>
    <w:link w:val="Style_18_ch"/>
    <w:rPr>
      <w:vertAlign w:val="superscript"/>
    </w:rPr>
  </w:style>
  <w:style w:styleId="Style_18_ch" w:type="character">
    <w:name w:val="endnote reference"/>
    <w:link w:val="Style_18"/>
    <w:rPr>
      <w:vertAlign w:val="superscript"/>
    </w:rPr>
  </w:style>
  <w:style w:styleId="Style_19" w:type="paragraph">
    <w:name w:val="Строгий1"/>
    <w:link w:val="Style_19_ch"/>
    <w:rPr>
      <w:b w:val="1"/>
    </w:rPr>
  </w:style>
  <w:style w:styleId="Style_19_ch" w:type="character">
    <w:name w:val="Строгий1"/>
    <w:link w:val="Style_19"/>
    <w:rPr>
      <w:b w:val="1"/>
    </w:rPr>
  </w:style>
  <w:style w:styleId="Style_20" w:type="paragraph">
    <w:name w:val="toc 9"/>
    <w:next w:val="Style_2"/>
    <w:link w:val="Style_2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1" w:type="paragraph">
    <w:name w:val="toc 8"/>
    <w:next w:val="Style_2"/>
    <w:link w:val="Style_21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22" w:type="paragraph">
    <w:name w:val="toc 5"/>
    <w:next w:val="Style_2"/>
    <w:link w:val="Style_2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23" w:type="paragraph">
    <w:name w:val="Subtitle"/>
    <w:next w:val="Style_2"/>
    <w:link w:val="Style_23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3_ch" w:type="character">
    <w:name w:val="Subtitle"/>
    <w:link w:val="Style_23"/>
    <w:rPr>
      <w:rFonts w:ascii="XO Thames" w:hAnsi="XO Thames"/>
      <w:i w:val="1"/>
      <w:sz w:val="24"/>
    </w:rPr>
  </w:style>
  <w:style w:styleId="Style_24" w:type="paragraph">
    <w:name w:val="List Paragraph"/>
    <w:link w:val="Style_24_ch"/>
  </w:style>
  <w:style w:styleId="Style_24_ch" w:type="character">
    <w:name w:val="List Paragraph"/>
    <w:link w:val="Style_24"/>
  </w:style>
  <w:style w:styleId="Style_25" w:type="paragraph">
    <w:name w:val="Title"/>
    <w:link w:val="Style_25_ch"/>
    <w:uiPriority w:val="10"/>
    <w:qFormat/>
    <w:rPr>
      <w:sz w:val="56"/>
    </w:rPr>
  </w:style>
  <w:style w:styleId="Style_25_ch" w:type="character">
    <w:name w:val="Title"/>
    <w:link w:val="Style_25"/>
    <w:rPr>
      <w:sz w:val="56"/>
    </w:rPr>
  </w:style>
  <w:style w:styleId="Style_26" w:type="paragraph">
    <w:name w:val="heading 4"/>
    <w:link w:val="Style_26_ch"/>
    <w:uiPriority w:val="9"/>
    <w:qFormat/>
    <w:pPr>
      <w:ind/>
      <w:outlineLvl w:val="3"/>
    </w:pPr>
    <w:rPr>
      <w:i w:val="1"/>
      <w:color w:val="2E74B5"/>
    </w:rPr>
  </w:style>
  <w:style w:styleId="Style_26_ch" w:type="character">
    <w:name w:val="heading 4"/>
    <w:link w:val="Style_26"/>
    <w:rPr>
      <w:i w:val="1"/>
      <w:color w:val="2E74B5"/>
    </w:rPr>
  </w:style>
  <w:style w:styleId="Style_27" w:type="paragraph">
    <w:name w:val="heading 2"/>
    <w:link w:val="Style_27_ch"/>
    <w:uiPriority w:val="9"/>
    <w:qFormat/>
    <w:pPr>
      <w:ind/>
      <w:outlineLvl w:val="1"/>
    </w:pPr>
    <w:rPr>
      <w:color w:val="2E74B5"/>
      <w:sz w:val="26"/>
    </w:rPr>
  </w:style>
  <w:style w:styleId="Style_27_ch" w:type="character">
    <w:name w:val="heading 2"/>
    <w:link w:val="Style_27"/>
    <w:rPr>
      <w:color w:val="2E74B5"/>
      <w:sz w:val="26"/>
    </w:rPr>
  </w:style>
  <w:style w:styleId="Style_28" w:type="paragraph">
    <w:name w:val="heading 6"/>
    <w:link w:val="Style_28_ch"/>
    <w:uiPriority w:val="9"/>
    <w:qFormat/>
    <w:pPr>
      <w:ind/>
      <w:outlineLvl w:val="5"/>
    </w:pPr>
    <w:rPr>
      <w:color w:val="1F4D78"/>
    </w:rPr>
  </w:style>
  <w:style w:styleId="Style_28_ch" w:type="character">
    <w:name w:val="heading 6"/>
    <w:link w:val="Style_28"/>
    <w:rPr>
      <w:color w:val="1F4D78"/>
    </w:rPr>
  </w:style>
  <w:style w:default="1" w:styleId="Style_2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2026-10-05T16:25:55Z</dcterms:modified>
</cp:coreProperties>
</file>