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Бриф на проект. Пишущий редактор </w:t>
      </w:r>
      <w:hyperlink r:id="rId6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Сергей Ломакин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2"/>
          <w:szCs w:val="22"/>
          <w:rtl w:val="0"/>
        </w:rPr>
        <w:t xml:space="preserve">Заполните в свободной форме. Если </w:t>
      </w:r>
      <w:r w:rsidDel="00000000" w:rsidR="00000000" w:rsidRPr="00000000">
        <w:rPr>
          <w:rtl w:val="0"/>
        </w:rPr>
        <w:t xml:space="preserve">данных для </w:t>
      </w:r>
      <w:r w:rsidDel="00000000" w:rsidR="00000000" w:rsidRPr="00000000">
        <w:rPr>
          <w:sz w:val="22"/>
          <w:szCs w:val="22"/>
          <w:rtl w:val="0"/>
        </w:rPr>
        <w:t xml:space="preserve">какого-то пункта нет — оставьте пустым.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ededed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Раздел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Ответ заказчика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О проекте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Название вашей компании. Или проекта, сайт (если есть) и 2-3 предложения о продукте.</w:t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Контекст и задача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Что нужно подготовить (лонгрид, рассылка, лендинг, статья, кейс, серия материалов) и какую бизнес-задачу решить?</w:t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Аудитория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Кто ваш клиент — что для него важно, какое действие ожидается после прочтения текста?</w:t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УТП и преимущества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Почему выбирают вас? Почему ваш продукт выбирают. 3-5 тезисов. Что отличает ваш продуктов от альтернатив?</w:t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Фактура и доступ к экспертам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Какие текстовые материалы уже есть (отчёты, черновики). Нужны ли интервью и с кем?</w:t>
              <w:br w:type="textWrapping"/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Тон и стиль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Как должен звучать текст (строго для B2B аудитории,  дружелюбно, экспертно). </w:t>
            </w:r>
          </w:p>
          <w:p w:rsidR="00000000" w:rsidDel="00000000" w:rsidP="00000000" w:rsidRDefault="00000000" w:rsidRPr="00000000" w14:paraId="0000001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Запрещённые формулировки (если есть).</w:t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Референсы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Ссылки и примеры материалов, которые нравятся (и которые не нравятся) + 2-3 конкурента. Только текст.</w:t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SEO (если актуально)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Есть ли семантика? Нужны ли ключевые слова в тексте?</w:t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Желаемый срок, наличие дедлайна. Можно ли согласовывать по этапам?</w:t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Бюджет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1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Можно сумму итоговую, или же вилку указать.</w:t>
            </w:r>
          </w:p>
          <w:p w:rsidR="00000000" w:rsidDel="00000000" w:rsidP="00000000" w:rsidRDefault="00000000" w:rsidRPr="00000000" w14:paraId="0000001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Что важно учесть (фикс или почасовая оплата моего времени)?</w:t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f7f7" w:val="clear"/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Контакты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bottom w:w="140.0" w:type="dxa"/>
            </w:tcMar>
          </w:tcPr>
          <w:p w:rsidR="00000000" w:rsidDel="00000000" w:rsidP="00000000" w:rsidRDefault="00000000" w:rsidRPr="00000000" w14:paraId="0000002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Как вас зовут и ваша роль в компании. </w:t>
            </w:r>
          </w:p>
          <w:p w:rsidR="00000000" w:rsidDel="00000000" w:rsidP="00000000" w:rsidRDefault="00000000" w:rsidRPr="00000000" w14:paraId="0000002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Удобный канал связи (Telegram, телефон, а может электронная почта) и предпочтительное время для связи.</w:t>
              <w:br w:type="textWrapping"/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Ответить здесь…</w:t>
            </w:r>
            <w:r w:rsidDel="00000000" w:rsidR="00000000" w:rsidRPr="00000000">
              <w:rPr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Отправьте заполненный бриф на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lomakin.true@yandex.ru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dmj0vh6k2ujo" w:id="0"/>
      <w:bookmarkEnd w:id="0"/>
      <w:r w:rsidDel="00000000" w:rsidR="00000000" w:rsidRPr="00000000">
        <w:rPr>
          <w:rtl w:val="0"/>
        </w:rPr>
        <w:t xml:space="preserve">Что дальше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После получения брифа я изучаю задачу, задаю уточняющие вопросы и предлагаю формат работы, сроки и стоимость. Ответ направляется в течение двух рабочих дней максимум.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makin-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